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Pr="00101B40" w:rsidR="00E72DE6" w:rsidP="00BA79BC" w:rsidRDefault="00101B40" w14:paraId="7CB24018" w14:textId="354B534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101B40" w:rsidR="00BA79BC" w:rsidP="00BA79BC" w:rsidRDefault="00BA79BC" w14:paraId="5D51C37D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:rsidRPr="00101B40" w:rsidR="00BA79BC" w:rsidP="00BA79BC" w:rsidRDefault="00BA79BC" w14:paraId="24C58C78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:rsidRPr="00101B40" w:rsidR="000468CE" w:rsidP="000468CE" w:rsidRDefault="000468CE" w14:paraId="6FC58315" w14:textId="3E7A4868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0468CE">
        <w:rPr>
          <w:rFonts w:ascii="Aptos Display" w:hAnsi="Aptos Display"/>
          <w:b/>
          <w:sz w:val="28"/>
        </w:rPr>
        <w:t>Mission de maitrise d’œuvre de démolition, désamiantage, génie civil et terrassement du site « Oddo Est »</w:t>
      </w:r>
    </w:p>
    <w:p w:rsidRPr="00101B40" w:rsidR="00056BF8" w:rsidP="00056BF8" w:rsidRDefault="00056BF8" w14:paraId="2BDCADEF" w14:textId="77777777">
      <w:pPr>
        <w:rPr>
          <w:rFonts w:ascii="Aptos Display" w:hAnsi="Aptos Display"/>
        </w:rPr>
      </w:pPr>
    </w:p>
    <w:p w:rsidRPr="00101B40" w:rsidR="00056BF8" w:rsidP="00F247B6" w:rsidRDefault="00056BF8" w14:paraId="4C097307" w14:textId="6C7D96E4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Pr="00D35C19" w:rsid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:rsidRPr="00220E50" w:rsidR="00134C3C" w:rsidP="00134C3C" w:rsidRDefault="00134C3C" w14:paraId="0C86BC64" w14:textId="7777777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:rsidRPr="00220E50" w:rsidR="00134C3C" w:rsidP="00134C3C" w:rsidRDefault="00134C3C" w14:paraId="27F5ECF8" w14:textId="7777777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:rsidRPr="00220E50" w:rsidR="00134C3C" w:rsidP="00134C3C" w:rsidRDefault="00134C3C" w14:paraId="2090B91E" w14:textId="77777777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:rsidRPr="00101B40" w:rsidR="00BA79BC" w:rsidRDefault="00BA79BC" w14:paraId="52E48E06" w14:textId="77777777">
      <w:pPr>
        <w:rPr>
          <w:rFonts w:ascii="Aptos Display" w:hAnsi="Aptos Display"/>
        </w:rPr>
      </w:pPr>
    </w:p>
    <w:p w:rsidRPr="00101B40" w:rsidR="00E72DE6" w:rsidP="00BA79BC" w:rsidRDefault="00E72DE6" w14:paraId="25295CEA" w14:textId="777777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Pr="00101B40" w:rsidR="005C216D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:rsidRPr="00101B40" w:rsidR="005C216D" w:rsidP="00D200FD" w:rsidRDefault="005C216D" w14:paraId="3EDE4397" w14:textId="77777777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:rsidRPr="00101B40" w:rsidR="005C216D" w:rsidP="00D200FD" w:rsidRDefault="005C216D" w14:paraId="6FD3D5BD" w14:textId="77777777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:rsidRPr="00101B40" w:rsidR="00E72DE6" w:rsidP="00D200FD" w:rsidRDefault="005C216D" w14:paraId="2CBBA45B" w14:textId="77777777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:rsidRPr="00101B40" w:rsidR="005C216D" w:rsidRDefault="005C216D" w14:paraId="359CF1BA" w14:textId="77777777">
      <w:pPr>
        <w:rPr>
          <w:rFonts w:ascii="Aptos Display" w:hAnsi="Aptos Display" w:cs="Arial"/>
          <w:b/>
          <w:bCs/>
          <w:shd w:val="clear" w:color="auto" w:fill="66CCFF"/>
        </w:rPr>
      </w:pPr>
    </w:p>
    <w:p w:rsidRPr="00101B40" w:rsidR="00E72DE6" w:rsidP="00BA79BC" w:rsidRDefault="00E72DE6" w14:paraId="60F24F06" w14:textId="777777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Pr="00101B40" w:rsidR="005C216D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:rsidR="005C216D" w:rsidP="000468CE" w:rsidRDefault="00E72DE6" w14:paraId="44023F90" w14:textId="69252215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Pr="00101B40" w:rsidR="00CE0534">
        <w:rPr>
          <w:rFonts w:ascii="Aptos Display" w:hAnsi="Aptos Display" w:cs="Arial"/>
          <w:bCs/>
        </w:rPr>
        <w:t>la consultation</w:t>
      </w:r>
      <w:r w:rsidR="0051795F">
        <w:rPr>
          <w:rFonts w:ascii="Aptos Display" w:hAnsi="Aptos Display" w:cs="Arial"/>
          <w:bCs/>
        </w:rPr>
        <w:t xml:space="preserve"> : </w:t>
      </w:r>
      <w:r w:rsidRPr="000468CE" w:rsidR="000468CE">
        <w:rPr>
          <w:rFonts w:ascii="Aptos Display" w:hAnsi="Aptos Display" w:cs="Arial"/>
          <w:bCs/>
        </w:rPr>
        <w:t>Mission de maitrise d’œuvre de démolition, désamiantage, génie civil et terrassement du site « Oddo Est</w:t>
      </w:r>
      <w:r w:rsidR="000468CE">
        <w:rPr>
          <w:rFonts w:ascii="Aptos Display" w:hAnsi="Aptos Display" w:cs="Arial"/>
          <w:bCs/>
        </w:rPr>
        <w:t xml:space="preserve"> </w:t>
      </w:r>
      <w:r w:rsidRPr="000468CE" w:rsidR="000468CE">
        <w:rPr>
          <w:rFonts w:ascii="Aptos Display" w:hAnsi="Aptos Display" w:cs="Arial"/>
          <w:bCs/>
        </w:rPr>
        <w:t>»</w:t>
      </w:r>
    </w:p>
    <w:p w:rsidRPr="00101B40" w:rsidR="000468CE" w:rsidP="000468CE" w:rsidRDefault="000468CE" w14:paraId="2865C71C" w14:textId="77777777">
      <w:pPr>
        <w:spacing w:after="0"/>
        <w:jc w:val="both"/>
        <w:rPr>
          <w:rFonts w:ascii="Aptos Display" w:hAnsi="Aptos Display" w:cs="Arial"/>
          <w:bCs/>
        </w:rPr>
      </w:pPr>
    </w:p>
    <w:p w:rsidRPr="00101B40" w:rsidR="005C216D" w:rsidP="00BA79BC" w:rsidRDefault="005C216D" w14:paraId="254D405F" w14:textId="777777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C – Présentation du candidat </w:t>
      </w:r>
    </w:p>
    <w:p w:rsidRPr="00101B40" w:rsidR="00E72DE6" w:rsidP="00E72DE6" w:rsidRDefault="00E72DE6" w14:paraId="1FAB33D0" w14:textId="77777777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:rsidRPr="00101B40" w:rsidR="00101E31" w:rsidP="00101E31" w:rsidRDefault="00101E31" w14:paraId="139EF95B" w14:textId="77777777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:rsidRPr="00101B40" w:rsidR="00101E31" w:rsidP="00101E31" w:rsidRDefault="00101E31" w14:paraId="54D0C444" w14:textId="77777777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Pr="00101B40" w:rsidR="00101E31" w:rsidTr="00101E31" w14:paraId="0B44D99C" w14:textId="77777777">
        <w:tc>
          <w:tcPr>
            <w:tcW w:w="5098" w:type="dxa"/>
          </w:tcPr>
          <w:p w:rsidRPr="00101B40" w:rsidR="00101E31" w:rsidP="004E2B8B" w:rsidRDefault="00101E31" w14:paraId="680644FC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:rsidRPr="00101B40" w:rsidR="00101E31" w:rsidP="004E2B8B" w:rsidRDefault="00101E31" w14:paraId="5391610C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0E669B7" w14:textId="77777777">
        <w:tc>
          <w:tcPr>
            <w:tcW w:w="5098" w:type="dxa"/>
          </w:tcPr>
          <w:p w:rsidRPr="00101B40" w:rsidR="00101E31" w:rsidP="004E2B8B" w:rsidRDefault="00101E31" w14:paraId="6B5CFDC0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</w:r>
            <w:r w:rsidRPr="00101B40">
              <w:rPr>
                <w:rFonts w:ascii="Aptos Display" w:hAnsi="Aptos Display"/>
                <w:sz w:val="22"/>
                <w:szCs w:val="22"/>
              </w:rPr>
              <w:t>* agissant pour le compte de la société (indiquer SA, SARL, ...)</w:t>
            </w:r>
          </w:p>
        </w:tc>
        <w:tc>
          <w:tcPr>
            <w:tcW w:w="3828" w:type="dxa"/>
          </w:tcPr>
          <w:p w:rsidRPr="00101B40" w:rsidR="00101E31" w:rsidP="004E2B8B" w:rsidRDefault="00101E31" w14:paraId="697FA4E9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491E4A9" w14:textId="77777777">
        <w:tc>
          <w:tcPr>
            <w:tcW w:w="5098" w:type="dxa"/>
          </w:tcPr>
          <w:p w:rsidRPr="00101B40" w:rsidR="00101E31" w:rsidP="004E2B8B" w:rsidRDefault="00101E31" w14:paraId="027280FA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:rsidRPr="00101B40" w:rsidR="00101E31" w:rsidP="004E2B8B" w:rsidRDefault="00101E31" w14:paraId="7DCAB515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53FE7634" w14:textId="77777777">
        <w:tc>
          <w:tcPr>
            <w:tcW w:w="5098" w:type="dxa"/>
          </w:tcPr>
          <w:p w:rsidRPr="00101B40" w:rsidR="00101E31" w:rsidP="004E2B8B" w:rsidRDefault="00101E31" w14:paraId="4BFE05E1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:rsidRPr="00101B40" w:rsidR="00101E31" w:rsidP="004E2B8B" w:rsidRDefault="00101E31" w14:paraId="6B346473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A3DC7A4" w14:textId="77777777">
        <w:tc>
          <w:tcPr>
            <w:tcW w:w="5098" w:type="dxa"/>
          </w:tcPr>
          <w:p w:rsidRPr="00101B40" w:rsidR="00101E31" w:rsidP="004E2B8B" w:rsidRDefault="00101E31" w14:paraId="64098E6B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:rsidRPr="00101B40" w:rsidR="00101E31" w:rsidP="004E2B8B" w:rsidRDefault="00101E31" w14:paraId="5DA97D6E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A961587" w14:textId="77777777">
        <w:tc>
          <w:tcPr>
            <w:tcW w:w="5098" w:type="dxa"/>
          </w:tcPr>
          <w:p w:rsidRPr="00101B40" w:rsidR="00101E31" w:rsidP="004E2B8B" w:rsidRDefault="00101E31" w14:paraId="3F20C0E2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:rsidRPr="00101B40" w:rsidR="00101E31" w:rsidP="004E2B8B" w:rsidRDefault="00101E31" w14:paraId="669483ED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EF2CC7E" w14:textId="77777777">
        <w:tc>
          <w:tcPr>
            <w:tcW w:w="5098" w:type="dxa"/>
          </w:tcPr>
          <w:p w:rsidRPr="00101B40" w:rsidR="00101E31" w:rsidP="004E2B8B" w:rsidRDefault="00101E31" w14:paraId="1AC4D49B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:rsidRPr="00101B40" w:rsidR="00101E31" w:rsidP="004E2B8B" w:rsidRDefault="00101E31" w14:paraId="0C1CFBC1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106D76E0" w14:textId="77777777">
        <w:tc>
          <w:tcPr>
            <w:tcW w:w="5098" w:type="dxa"/>
          </w:tcPr>
          <w:p w:rsidRPr="00101B40" w:rsidR="00101E31" w:rsidP="004E2B8B" w:rsidRDefault="00101E31" w14:paraId="539BCC26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:rsidRPr="00101B40" w:rsidR="00101E31" w:rsidP="004E2B8B" w:rsidRDefault="00101E31" w14:paraId="1AF3A77F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5B91E0AA" w14:textId="77777777">
        <w:tc>
          <w:tcPr>
            <w:tcW w:w="5098" w:type="dxa"/>
          </w:tcPr>
          <w:p w:rsidRPr="00101B40" w:rsidR="00101E31" w:rsidP="004E2B8B" w:rsidRDefault="00101E31" w14:paraId="52762AA4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:rsidRPr="00101B40" w:rsidR="00101E31" w:rsidP="004E2B8B" w:rsidRDefault="00101E31" w14:paraId="1A4EC96B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A097F18" w14:textId="77777777">
        <w:tc>
          <w:tcPr>
            <w:tcW w:w="5098" w:type="dxa"/>
          </w:tcPr>
          <w:p w:rsidRPr="00101B40" w:rsidR="00101E31" w:rsidP="004E2B8B" w:rsidRDefault="00101E31" w14:paraId="0664CEF3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:rsidRPr="00101B40" w:rsidR="00101E31" w:rsidP="004E2B8B" w:rsidRDefault="00101E31" w14:paraId="6463F70C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Pr="00101B40" w:rsidR="00101E31" w:rsidTr="00101E31" w14:paraId="6145FA80" w14:textId="77777777">
        <w:tc>
          <w:tcPr>
            <w:tcW w:w="5098" w:type="dxa"/>
          </w:tcPr>
          <w:p w:rsidRPr="00101B40" w:rsidR="00101E31" w:rsidP="004E2B8B" w:rsidRDefault="00101E31" w14:paraId="095D9F9A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:rsidRPr="00101B40" w:rsidR="00101E31" w:rsidP="004E2B8B" w:rsidRDefault="00101E31" w14:paraId="67C08F4A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:rsidRPr="00101B40" w:rsidR="00101E31" w:rsidP="00101E31" w:rsidRDefault="00101E31" w14:paraId="54A7DA90" w14:textId="77777777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:rsidRPr="00101B40" w:rsidR="00101E31" w:rsidP="00101E31" w:rsidRDefault="00101E31" w14:paraId="4678ACE4" w14:textId="77777777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:rsidRPr="00101B40" w:rsidR="00101E31" w:rsidP="00101E31" w:rsidRDefault="00101E31" w14:paraId="1E8D73DB" w14:textId="77777777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:rsidRPr="00101B40" w:rsidR="00101E31" w:rsidP="00101E31" w:rsidRDefault="00101E31" w14:paraId="33A267E9" w14:textId="77777777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:rsidRPr="00101B40" w:rsidR="00101E31" w:rsidP="00101E31" w:rsidRDefault="00101E31" w14:paraId="787916D4" w14:textId="77777777">
      <w:pPr>
        <w:jc w:val="center"/>
        <w:rPr>
          <w:rFonts w:ascii="Aptos Display" w:hAnsi="Aptos Display"/>
        </w:rPr>
      </w:pPr>
      <w:r w:rsidRPr="00101B40">
        <w:rPr>
          <w:rFonts w:ascii="Wingdings" w:hAnsi="Wingdings" w:eastAsia="Wingdings" w:cs="Wingdings"/>
        </w:rPr>
        <w:t>o</w:t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Wingdings" w:hAnsi="Wingdings" w:eastAsia="Wingdings" w:cs="Wingdings"/>
        </w:rPr>
        <w:t>o</w:t>
      </w:r>
      <w:r w:rsidRPr="00101B40">
        <w:rPr>
          <w:rFonts w:ascii="Aptos Display" w:hAnsi="Aptos Display"/>
        </w:rPr>
        <w:t xml:space="preserve"> solidaire</w:t>
      </w:r>
    </w:p>
    <w:p w:rsidRPr="00101B40" w:rsidR="00101E31" w:rsidP="00101E31" w:rsidRDefault="00101E31" w14:paraId="060F4B49" w14:textId="77777777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:rsidRPr="00101B40" w:rsidR="00101E31" w:rsidP="00101E31" w:rsidRDefault="00101E31" w14:paraId="13C7D630" w14:textId="77777777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:rsidRPr="00101B40" w:rsidR="00101E31" w:rsidP="00101E31" w:rsidRDefault="00101E31" w14:paraId="7470986C" w14:textId="77777777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:rsidRPr="00101B40" w:rsidR="00101E31" w:rsidP="00101E31" w:rsidRDefault="00101E31" w14:paraId="1E944ECA" w14:textId="77777777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Pr="00101B40" w:rsidR="00101E31" w:rsidTr="00101E31" w14:paraId="00AC81DD" w14:textId="77777777">
        <w:tc>
          <w:tcPr>
            <w:tcW w:w="5240" w:type="dxa"/>
          </w:tcPr>
          <w:p w:rsidRPr="00101B40" w:rsidR="00101E31" w:rsidP="004E2B8B" w:rsidRDefault="00101E31" w14:paraId="3A9F500F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:rsidRPr="00101B40" w:rsidR="00101E31" w:rsidP="004E2B8B" w:rsidRDefault="00101E31" w14:paraId="0CCF1D87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1CADC0CC" w14:textId="77777777">
        <w:tc>
          <w:tcPr>
            <w:tcW w:w="5240" w:type="dxa"/>
          </w:tcPr>
          <w:p w:rsidRPr="00101B40" w:rsidR="00101E31" w:rsidP="004E2B8B" w:rsidRDefault="00101E31" w14:paraId="74FEA923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</w:r>
            <w:r w:rsidRPr="00101B40">
              <w:rPr>
                <w:rFonts w:ascii="Aptos Display" w:hAnsi="Aptos Display"/>
                <w:sz w:val="22"/>
                <w:szCs w:val="22"/>
              </w:rPr>
              <w:t>* agissant pour le compte de la société (indiquer SA, SARL, ...)</w:t>
            </w:r>
          </w:p>
        </w:tc>
        <w:tc>
          <w:tcPr>
            <w:tcW w:w="3828" w:type="dxa"/>
          </w:tcPr>
          <w:p w:rsidRPr="00101B40" w:rsidR="00101E31" w:rsidP="004E2B8B" w:rsidRDefault="00101E31" w14:paraId="68ABAA36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A43E8FA" w14:textId="77777777">
        <w:tc>
          <w:tcPr>
            <w:tcW w:w="5240" w:type="dxa"/>
          </w:tcPr>
          <w:p w:rsidRPr="00101B40" w:rsidR="00101E31" w:rsidP="004E2B8B" w:rsidRDefault="00101E31" w14:paraId="50CA0A28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:rsidRPr="00101B40" w:rsidR="00101E31" w:rsidP="004E2B8B" w:rsidRDefault="00101E31" w14:paraId="71F47546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035C0DF3" w14:textId="77777777">
        <w:tc>
          <w:tcPr>
            <w:tcW w:w="5240" w:type="dxa"/>
          </w:tcPr>
          <w:p w:rsidRPr="00101B40" w:rsidR="00101E31" w:rsidP="004E2B8B" w:rsidRDefault="00101E31" w14:paraId="2A4DA40D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:rsidRPr="00101B40" w:rsidR="00101E31" w:rsidP="004E2B8B" w:rsidRDefault="00101E31" w14:paraId="7F9B4968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1A2A8922" w14:textId="77777777">
        <w:tc>
          <w:tcPr>
            <w:tcW w:w="5240" w:type="dxa"/>
          </w:tcPr>
          <w:p w:rsidRPr="00101B40" w:rsidR="00101E31" w:rsidP="004E2B8B" w:rsidRDefault="00101E31" w14:paraId="7D8FDDCB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:rsidRPr="00101B40" w:rsidR="00101E31" w:rsidP="004E2B8B" w:rsidRDefault="00101E31" w14:paraId="133CAFA2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AF612F6" w14:textId="77777777">
        <w:tc>
          <w:tcPr>
            <w:tcW w:w="5240" w:type="dxa"/>
          </w:tcPr>
          <w:p w:rsidRPr="00101B40" w:rsidR="00101E31" w:rsidP="004E2B8B" w:rsidRDefault="00101E31" w14:paraId="6CDBA86D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:rsidRPr="00101B40" w:rsidR="00101E31" w:rsidP="004E2B8B" w:rsidRDefault="00101E31" w14:paraId="41D95DF3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0355D01" w14:textId="77777777">
        <w:tc>
          <w:tcPr>
            <w:tcW w:w="5240" w:type="dxa"/>
          </w:tcPr>
          <w:p w:rsidRPr="00101B40" w:rsidR="00101E31" w:rsidP="004E2B8B" w:rsidRDefault="00101E31" w14:paraId="5D423F7B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:rsidRPr="00101B40" w:rsidR="00101E31" w:rsidP="004E2B8B" w:rsidRDefault="00101E31" w14:paraId="518A42E6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216B3C3A" w14:textId="77777777">
        <w:tc>
          <w:tcPr>
            <w:tcW w:w="5240" w:type="dxa"/>
          </w:tcPr>
          <w:p w:rsidRPr="00101B40" w:rsidR="00101E31" w:rsidP="004E2B8B" w:rsidRDefault="00101E31" w14:paraId="5A3DB4F8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:rsidRPr="00101B40" w:rsidR="00101E31" w:rsidP="004E2B8B" w:rsidRDefault="00101E31" w14:paraId="0C54847C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1CED968" w14:textId="77777777">
        <w:tc>
          <w:tcPr>
            <w:tcW w:w="5240" w:type="dxa"/>
          </w:tcPr>
          <w:p w:rsidRPr="00101B40" w:rsidR="00101E31" w:rsidP="004E2B8B" w:rsidRDefault="00101E31" w14:paraId="29F232DF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:rsidRPr="00101B40" w:rsidR="00101E31" w:rsidP="004E2B8B" w:rsidRDefault="00101E31" w14:paraId="4B965886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5DC3D0B6" w14:textId="77777777">
        <w:tc>
          <w:tcPr>
            <w:tcW w:w="5240" w:type="dxa"/>
          </w:tcPr>
          <w:p w:rsidRPr="00101B40" w:rsidR="00101E31" w:rsidP="004E2B8B" w:rsidRDefault="00101E31" w14:paraId="5777449F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:rsidRPr="00101B40" w:rsidR="00101E31" w:rsidP="004E2B8B" w:rsidRDefault="00101E31" w14:paraId="15905970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Pr="00101B40" w:rsidR="00101E31" w:rsidTr="00101E31" w14:paraId="703D4034" w14:textId="77777777">
        <w:tc>
          <w:tcPr>
            <w:tcW w:w="5240" w:type="dxa"/>
          </w:tcPr>
          <w:p w:rsidRPr="00101B40" w:rsidR="00101E31" w:rsidP="004E2B8B" w:rsidRDefault="00101E31" w14:paraId="3C2ACAB5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:rsidRPr="00101B40" w:rsidR="00101E31" w:rsidP="004E2B8B" w:rsidRDefault="00101E31" w14:paraId="50AF4D81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:rsidRPr="00101B40" w:rsidR="00101E31" w:rsidP="00101E31" w:rsidRDefault="00101E31" w14:paraId="78D4EBC5" w14:textId="77777777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:rsidRPr="00101B40" w:rsidR="00101E31" w:rsidP="00101E31" w:rsidRDefault="00101E31" w14:paraId="1B65DF87" w14:textId="77777777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:rsidRPr="00101B40" w:rsidR="00101E31" w:rsidP="00101E31" w:rsidRDefault="00101E31" w14:paraId="2E3CF45E" w14:textId="77777777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Pr="00101B40" w:rsidR="00101E31" w:rsidTr="00101E31" w14:paraId="2400C2FB" w14:textId="77777777">
        <w:tc>
          <w:tcPr>
            <w:tcW w:w="5240" w:type="dxa"/>
          </w:tcPr>
          <w:p w:rsidRPr="00101B40" w:rsidR="00101E31" w:rsidP="004E2B8B" w:rsidRDefault="00101E31" w14:paraId="73778812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:rsidRPr="00101B40" w:rsidR="00101E31" w:rsidP="004E2B8B" w:rsidRDefault="00101E31" w14:paraId="4BAC1725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727C844E" w14:textId="77777777">
        <w:tc>
          <w:tcPr>
            <w:tcW w:w="5240" w:type="dxa"/>
          </w:tcPr>
          <w:p w:rsidRPr="00101B40" w:rsidR="00101E31" w:rsidP="004E2B8B" w:rsidRDefault="00101E31" w14:paraId="4C44D72C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</w:r>
            <w:r w:rsidRPr="00101B40">
              <w:rPr>
                <w:rFonts w:ascii="Aptos Display" w:hAnsi="Aptos Display"/>
                <w:sz w:val="22"/>
                <w:szCs w:val="22"/>
              </w:rPr>
              <w:t>* agissant pour le compte de la société (indiquer SA, SARL, ...)</w:t>
            </w:r>
          </w:p>
        </w:tc>
        <w:tc>
          <w:tcPr>
            <w:tcW w:w="3828" w:type="dxa"/>
          </w:tcPr>
          <w:p w:rsidRPr="00101B40" w:rsidR="00101E31" w:rsidP="004E2B8B" w:rsidRDefault="00101E31" w14:paraId="07FF9179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07634B5" w14:textId="77777777">
        <w:tc>
          <w:tcPr>
            <w:tcW w:w="5240" w:type="dxa"/>
          </w:tcPr>
          <w:p w:rsidRPr="00101B40" w:rsidR="00101E31" w:rsidP="004E2B8B" w:rsidRDefault="00101E31" w14:paraId="2DEC8AC4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:rsidRPr="00101B40" w:rsidR="00101E31" w:rsidP="004E2B8B" w:rsidRDefault="00101E31" w14:paraId="6694405E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7489051" w14:textId="77777777">
        <w:tc>
          <w:tcPr>
            <w:tcW w:w="5240" w:type="dxa"/>
          </w:tcPr>
          <w:p w:rsidRPr="00101B40" w:rsidR="00101E31" w:rsidP="004E2B8B" w:rsidRDefault="00101E31" w14:paraId="31D0E670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:rsidRPr="00101B40" w:rsidR="00101E31" w:rsidP="004E2B8B" w:rsidRDefault="00101E31" w14:paraId="362512A2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72E791AE" w14:textId="77777777">
        <w:tc>
          <w:tcPr>
            <w:tcW w:w="5240" w:type="dxa"/>
          </w:tcPr>
          <w:p w:rsidRPr="00101B40" w:rsidR="00101E31" w:rsidP="004E2B8B" w:rsidRDefault="00101E31" w14:paraId="45D5477F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:rsidRPr="00101B40" w:rsidR="00101E31" w:rsidP="004E2B8B" w:rsidRDefault="00101E31" w14:paraId="2224A556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2A0B2D09" w14:textId="77777777">
        <w:tc>
          <w:tcPr>
            <w:tcW w:w="5240" w:type="dxa"/>
          </w:tcPr>
          <w:p w:rsidRPr="00101B40" w:rsidR="00101E31" w:rsidP="004E2B8B" w:rsidRDefault="00101E31" w14:paraId="38CCBE51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:rsidRPr="00101B40" w:rsidR="00101E31" w:rsidP="004E2B8B" w:rsidRDefault="00101E31" w14:paraId="21ADF7E1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1DB57521" w14:textId="77777777">
        <w:tc>
          <w:tcPr>
            <w:tcW w:w="5240" w:type="dxa"/>
          </w:tcPr>
          <w:p w:rsidRPr="00101B40" w:rsidR="00101E31" w:rsidP="004E2B8B" w:rsidRDefault="00101E31" w14:paraId="09CB71E3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:rsidRPr="00101B40" w:rsidR="00101E31" w:rsidP="004E2B8B" w:rsidRDefault="00101E31" w14:paraId="5CDCCD1B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44E9C1AC" w14:textId="77777777">
        <w:tc>
          <w:tcPr>
            <w:tcW w:w="5240" w:type="dxa"/>
          </w:tcPr>
          <w:p w:rsidRPr="00101B40" w:rsidR="00101E31" w:rsidP="004E2B8B" w:rsidRDefault="00101E31" w14:paraId="555B312E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:rsidRPr="00101B40" w:rsidR="00101E31" w:rsidP="004E2B8B" w:rsidRDefault="00101E31" w14:paraId="267A8269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1FFF54CC" w14:textId="77777777">
        <w:tc>
          <w:tcPr>
            <w:tcW w:w="5240" w:type="dxa"/>
          </w:tcPr>
          <w:p w:rsidRPr="00101B40" w:rsidR="00101E31" w:rsidP="004E2B8B" w:rsidRDefault="00101E31" w14:paraId="56B7C0EB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:rsidRPr="00101B40" w:rsidR="00101E31" w:rsidP="004E2B8B" w:rsidRDefault="00101E31" w14:paraId="6270E49D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Pr="00101B40" w:rsidR="00101E31" w:rsidTr="00101E31" w14:paraId="6915BA5A" w14:textId="77777777">
        <w:tc>
          <w:tcPr>
            <w:tcW w:w="5240" w:type="dxa"/>
          </w:tcPr>
          <w:p w:rsidRPr="00101B40" w:rsidR="00101E31" w:rsidP="004E2B8B" w:rsidRDefault="00101E31" w14:paraId="2164CFF5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:rsidRPr="00101B40" w:rsidR="00101E31" w:rsidP="004E2B8B" w:rsidRDefault="00101E31" w14:paraId="338AA62C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Pr="00101B40" w:rsidR="00101E31" w:rsidTr="00101E31" w14:paraId="6F9CF3EB" w14:textId="77777777">
        <w:tc>
          <w:tcPr>
            <w:tcW w:w="5240" w:type="dxa"/>
          </w:tcPr>
          <w:p w:rsidRPr="00101B40" w:rsidR="00101E31" w:rsidP="004E2B8B" w:rsidRDefault="00101E31" w14:paraId="019AFCC5" w14:textId="77777777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:rsidRPr="00101B40" w:rsidR="00101E31" w:rsidP="004E2B8B" w:rsidRDefault="00101E31" w14:paraId="31DFBE86" w14:textId="77777777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Wingdings" w:hAnsi="Wingdings" w:eastAsia="Wingdings" w:cs="Wingdings"/>
                <w:sz w:val="22"/>
                <w:szCs w:val="22"/>
              </w:rPr>
              <w:t>o</w:t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:rsidRPr="00101B40" w:rsidR="00101E31" w:rsidP="00101E31" w:rsidRDefault="00101E31" w14:paraId="7057A75C" w14:textId="77777777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:rsidRPr="00101B40" w:rsidR="00101E31" w:rsidP="00E72DE6" w:rsidRDefault="00101E31" w14:paraId="4A54EF93" w14:textId="77777777">
      <w:pPr>
        <w:rPr>
          <w:rFonts w:ascii="Aptos Display" w:hAnsi="Aptos Display" w:cs="Arial"/>
          <w:bCs/>
        </w:rPr>
      </w:pPr>
    </w:p>
    <w:p w:rsidRPr="00101B40" w:rsidR="00BA79BC" w:rsidP="00BA79BC" w:rsidRDefault="00BA79BC" w14:paraId="6E8C732F" w14:textId="777777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:rsidRPr="00101B40" w:rsidR="00BA79BC" w:rsidP="00E72DE6" w:rsidRDefault="00BA79BC" w14:paraId="1D2BCBFC" w14:textId="77777777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:rsidRPr="00101B40" w:rsidR="00E72DE6" w:rsidP="001B0C35" w:rsidRDefault="00E72DE6" w14:paraId="2210E7D9" w14:textId="5E065846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w:history="1" r:id="rId9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w:history="1" r:id="rId10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Pr="00101B40" w:rsidR="001B0C35">
        <w:rPr>
          <w:rFonts w:ascii="Aptos Display" w:hAnsi="Aptos Display" w:cs="Arial"/>
        </w:rPr>
        <w:t>.</w:t>
      </w:r>
    </w:p>
    <w:p w:rsidRPr="00101B40" w:rsidR="00E72DE6" w:rsidP="001B0C35" w:rsidRDefault="00E72DE6" w14:paraId="45AEA7F7" w14:textId="77777777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101B40" w:rsidR="004E2C48">
            <w:rPr>
              <w:rFonts w:ascii="Aptos Display" w:hAnsi="Aptos Display" w:eastAsia="MS Gothic" w:cs="Arial"/>
            </w:rPr>
            <w:t>☐</w:t>
          </w:r>
        </w:sdtContent>
      </w:sdt>
    </w:p>
    <w:p w:rsidRPr="00101B40" w:rsidR="00E72DE6" w:rsidP="00E72DE6" w:rsidRDefault="00E72DE6" w14:paraId="586E772F" w14:textId="77777777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w:history="1" r:id="rId1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w:history="1" r:id="rId12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w:history="1" r:id="rId13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:rsidRPr="00101B40" w:rsidR="004E2C48" w:rsidP="00E72DE6" w:rsidRDefault="004E2C48" w14:paraId="20DF38B7" w14:textId="77777777">
      <w:pPr>
        <w:jc w:val="both"/>
        <w:rPr>
          <w:rFonts w:ascii="Aptos Display" w:hAnsi="Aptos Display" w:cs="Arial"/>
          <w:sz w:val="18"/>
          <w:szCs w:val="18"/>
        </w:rPr>
      </w:pPr>
    </w:p>
    <w:p w:rsidRPr="00101B40" w:rsidR="00BA79BC" w:rsidP="00BA79BC" w:rsidRDefault="00BA79BC" w14:paraId="2E8F9AE0" w14:textId="777777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E – Renseignements relatifs à la capacité économique et financière du candidat individuel ou du membre du groupement</w:t>
      </w:r>
    </w:p>
    <w:p w:rsidRPr="00101B40" w:rsidR="00E72DE6" w:rsidP="00E72DE6" w:rsidRDefault="00E72DE6" w14:paraId="55015E49" w14:textId="77777777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:rsidRPr="00101B40" w:rsidR="00E72DE6" w:rsidP="00E72DE6" w:rsidRDefault="00E72DE6" w14:paraId="308AF9E0" w14:textId="77777777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Pr="00101B40" w:rsidR="00E72DE6" w:rsidTr="00BA79BC" w14:paraId="7BC33B4B" w14:textId="77777777">
        <w:trPr>
          <w:trHeight w:val="737"/>
        </w:trPr>
        <w:tc>
          <w:tcPr>
            <w:tcW w:w="2566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</w:tcBorders>
            <w:shd w:val="clear" w:color="auto" w:fill="auto"/>
          </w:tcPr>
          <w:p w:rsidRPr="00101B40" w:rsidR="00E72DE6" w:rsidP="006A265C" w:rsidRDefault="00E72DE6" w14:paraId="5EA0DAAB" w14:textId="77777777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5BF1B939" w14:textId="77777777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</w:r>
            <w:r w:rsidRPr="00101B40">
              <w:rPr>
                <w:rFonts w:ascii="Aptos Display" w:hAnsi="Aptos Display" w:cs="Arial"/>
              </w:rPr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</w:r>
            <w:r w:rsidRPr="00101B40">
              <w:rPr>
                <w:rFonts w:ascii="Aptos Display" w:hAnsi="Aptos Display" w:cs="Arial"/>
              </w:rPr>
              <w:t>au ..................</w:t>
            </w:r>
          </w:p>
        </w:tc>
        <w:tc>
          <w:tcPr>
            <w:tcW w:w="256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635B9726" w14:textId="77777777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</w:r>
            <w:r w:rsidRPr="00101B40">
              <w:rPr>
                <w:rFonts w:ascii="Aptos Display" w:hAnsi="Aptos Display" w:cs="Arial"/>
              </w:rPr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</w:r>
            <w:r w:rsidRPr="00101B40">
              <w:rPr>
                <w:rFonts w:ascii="Aptos Display" w:hAnsi="Aptos Display" w:cs="Arial"/>
              </w:rPr>
              <w:t>au ..................</w:t>
            </w:r>
          </w:p>
        </w:tc>
        <w:tc>
          <w:tcPr>
            <w:tcW w:w="2585" w:type="dxa"/>
            <w:tcBorders>
              <w:top w:val="single" w:color="000000" w:sz="8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101B40" w:rsidR="00E72DE6" w:rsidP="006A265C" w:rsidRDefault="00E72DE6" w14:paraId="4BC265AB" w14:textId="77777777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</w:r>
            <w:r w:rsidRPr="00101B40">
              <w:rPr>
                <w:rFonts w:ascii="Aptos Display" w:hAnsi="Aptos Display" w:cs="Arial"/>
              </w:rPr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</w:r>
            <w:r w:rsidRPr="00101B40">
              <w:rPr>
                <w:rFonts w:ascii="Aptos Display" w:hAnsi="Aptos Display" w:cs="Arial"/>
              </w:rPr>
              <w:t>au ..................</w:t>
            </w:r>
          </w:p>
        </w:tc>
      </w:tr>
      <w:tr w:rsidRPr="00101B40" w:rsidR="00E72DE6" w:rsidTr="00BA79BC" w14:paraId="7E469BCF" w14:textId="77777777">
        <w:trPr>
          <w:trHeight w:val="737"/>
        </w:trPr>
        <w:tc>
          <w:tcPr>
            <w:tcW w:w="2566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0BC694D9" w14:textId="77777777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color="000000" w:sz="4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5C49122F" w14:textId="77777777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:rsidRPr="00101B40" w:rsidR="00E72DE6" w:rsidP="006A265C" w:rsidRDefault="00E72DE6" w14:paraId="7A4B8E9B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3FAAC1FA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101B40" w:rsidR="00E72DE6" w:rsidP="006A265C" w:rsidRDefault="00E72DE6" w14:paraId="14E05C6E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Pr="00101B40" w:rsidR="00E72DE6" w:rsidTr="00BA79BC" w14:paraId="49755D48" w14:textId="77777777">
        <w:trPr>
          <w:trHeight w:val="737"/>
        </w:trPr>
        <w:tc>
          <w:tcPr>
            <w:tcW w:w="2566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</w:tcPr>
          <w:p w:rsidRPr="00101B40" w:rsidR="00E72DE6" w:rsidP="00BA79BC" w:rsidRDefault="00E72DE6" w14:paraId="75D448B6" w14:textId="283D8A1F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Pr="00101B40" w:rsidR="00056BF8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Pr="00101B40" w:rsidR="00056BF8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6BF65956" w14:textId="77777777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:rsidRPr="00101B40" w:rsidR="00E72DE6" w:rsidP="006A265C" w:rsidRDefault="00E72DE6" w14:paraId="64CE35BF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color="000000" w:sz="8" w:space="0"/>
              <w:bottom w:val="single" w:color="000000" w:sz="8" w:space="0"/>
            </w:tcBorders>
            <w:shd w:val="clear" w:color="auto" w:fill="auto"/>
          </w:tcPr>
          <w:p w:rsidRPr="00101B40" w:rsidR="00E72DE6" w:rsidP="006A265C" w:rsidRDefault="00E72DE6" w14:paraId="55F0C3D1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:rsidRPr="00101B40" w:rsidR="00E72DE6" w:rsidP="006A265C" w:rsidRDefault="00E72DE6" w14:paraId="10950431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 w:rsidRPr="00101B40" w:rsidR="00E72DE6" w:rsidP="006A265C" w:rsidRDefault="00E72DE6" w14:paraId="3FCE886B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:rsidRPr="00101B40" w:rsidR="00E72DE6" w:rsidP="006A265C" w:rsidRDefault="00E72DE6" w14:paraId="715448AF" w14:textId="77777777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:rsidRPr="00101B40" w:rsidR="00E72DE6" w:rsidP="00E72DE6" w:rsidRDefault="00E72DE6" w14:paraId="368868CD" w14:textId="77777777">
      <w:pPr>
        <w:tabs>
          <w:tab w:val="left" w:pos="864"/>
        </w:tabs>
        <w:jc w:val="both"/>
        <w:rPr>
          <w:rFonts w:ascii="Aptos Display" w:hAnsi="Aptos Display" w:cs="Arial"/>
        </w:rPr>
      </w:pPr>
    </w:p>
    <w:p w:rsidRPr="00101B40" w:rsidR="00E72DE6" w:rsidP="00E72DE6" w:rsidRDefault="00E72DE6" w14:paraId="2A294B8D" w14:textId="77777777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:rsidRPr="00101B40" w:rsidR="00E72DE6" w:rsidP="00E72DE6" w:rsidRDefault="00E72DE6" w14:paraId="0D443A37" w14:textId="77777777">
      <w:pPr>
        <w:tabs>
          <w:tab w:val="left" w:pos="864"/>
        </w:tabs>
        <w:jc w:val="both"/>
        <w:rPr>
          <w:rFonts w:ascii="Aptos Display" w:hAnsi="Aptos Display" w:cs="Arial"/>
        </w:rPr>
      </w:pPr>
    </w:p>
    <w:p w:rsidRPr="00101B40" w:rsidR="00E72DE6" w:rsidP="00E72DE6" w:rsidRDefault="00E72DE6" w14:paraId="0D7A093B" w14:textId="77777777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:rsidRPr="00101B40" w:rsidR="00BA79BC" w:rsidP="00BA79BC" w:rsidRDefault="00BA79BC" w14:paraId="07A77E52" w14:textId="77777777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:rsidRPr="00101B40" w:rsidR="004E2C48" w:rsidRDefault="004E2C48" w14:paraId="3FA5D480" w14:textId="77777777">
      <w:pPr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br w:type="page"/>
      </w:r>
    </w:p>
    <w:p w:rsidRPr="00101B40" w:rsidR="00BA79BC" w:rsidP="00BA79BC" w:rsidRDefault="00BA79BC" w14:paraId="57D5FBA1" w14:textId="77777777">
      <w:pPr>
        <w:tabs>
          <w:tab w:val="left" w:pos="864"/>
        </w:tabs>
        <w:jc w:val="both"/>
        <w:rPr>
          <w:rFonts w:ascii="Aptos Display" w:hAnsi="Aptos Display" w:cs="Arial"/>
        </w:rPr>
      </w:pPr>
    </w:p>
    <w:p w:rsidRPr="00101B40" w:rsidR="00BA79BC" w:rsidP="00BA79BC" w:rsidRDefault="00BA79BC" w14:paraId="4723341E" w14:textId="77777777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:rsidR="00AD3C47" w:rsidP="00AD3C47" w:rsidRDefault="00AD3C47" w14:paraId="59CC6253" w14:textId="77777777">
      <w:pPr>
        <w:tabs>
          <w:tab w:val="left" w:pos="864"/>
        </w:tabs>
        <w:jc w:val="both"/>
        <w:rPr>
          <w:rFonts w:ascii="Arial Narrow" w:hAnsi="Arial Narrow" w:cs="Arial"/>
        </w:rPr>
      </w:pPr>
    </w:p>
    <w:p w:rsidRPr="00AD3C47" w:rsidR="00AD3C47" w:rsidP="00AD3C47" w:rsidRDefault="00AD3C47" w14:paraId="10E4F7C7" w14:textId="6C4CEFE3">
      <w:pPr>
        <w:jc w:val="both"/>
        <w:rPr>
          <w:rFonts w:ascii="Aptos Display" w:hAnsi="Aptos Display" w:eastAsia="Times New Roman" w:cs="Arial"/>
          <w:b/>
          <w:bCs/>
          <w:lang w:eastAsia="zh-CN"/>
        </w:rPr>
      </w:pPr>
      <w:r w:rsidRPr="00AD3C47">
        <w:rPr>
          <w:rFonts w:ascii="Aptos Display" w:hAnsi="Aptos Display" w:eastAsia="Times New Roman" w:cs="Arial"/>
          <w:b/>
          <w:bCs/>
          <w:lang w:eastAsia="zh-CN"/>
        </w:rPr>
        <w:t>Liste des principa</w:t>
      </w:r>
      <w:r w:rsidR="0051795F">
        <w:rPr>
          <w:rFonts w:ascii="Aptos Display" w:hAnsi="Aptos Display" w:eastAsia="Times New Roman" w:cs="Arial"/>
          <w:b/>
          <w:bCs/>
          <w:lang w:eastAsia="zh-CN"/>
        </w:rPr>
        <w:t>ux travaux réalisés</w:t>
      </w:r>
      <w:r w:rsidRPr="00AD3C47">
        <w:rPr>
          <w:rFonts w:ascii="Aptos Display" w:hAnsi="Aptos Display" w:eastAsia="Times New Roman" w:cs="Arial"/>
          <w:b/>
          <w:bCs/>
          <w:lang w:eastAsia="zh-CN"/>
        </w:rPr>
        <w:t xml:space="preserve"> au cours des trois dernières années, indiquant le montant, la date et le destinataire public ou privé  </w:t>
      </w:r>
    </w:p>
    <w:p w:rsidRPr="00AD3C47" w:rsidR="00AD3C47" w:rsidP="00AD3C47" w:rsidRDefault="00AD3C47" w14:paraId="3B0236CE" w14:textId="77777777">
      <w:pPr>
        <w:jc w:val="both"/>
        <w:rPr>
          <w:rFonts w:ascii="Aptos Display" w:hAnsi="Aptos Display" w:eastAsia="Times New Roman" w:cs="Arial"/>
          <w:i/>
          <w:iCs/>
          <w:lang w:eastAsia="zh-CN"/>
        </w:rPr>
      </w:pPr>
      <w:r w:rsidRPr="00AD3C47">
        <w:rPr>
          <w:rFonts w:ascii="Aptos Display" w:hAnsi="Aptos Display" w:eastAsia="Times New Roman" w:cs="Arial"/>
          <w:i/>
          <w:iCs/>
          <w:lang w:eastAsia="zh-CN"/>
        </w:rPr>
        <w:t>Les prestations de services sont prouvées par des attestations du destinataire ou, à défaut, par une déclaration de l'opérateur économique (attestations ou déclarations à joindre au présent canevas).</w:t>
      </w: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Pr="00AD3C47" w:rsidR="00AD3C47" w:rsidTr="00EC396F" w14:paraId="13C7D4D4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:rsidRPr="00AD3C47" w:rsidR="00AD3C47" w:rsidP="00EC396F" w:rsidRDefault="00AD3C47" w14:paraId="5EFD4870" w14:textId="77777777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:rsidRPr="00AD3C47" w:rsidR="00AD3C47" w:rsidP="00EC396F" w:rsidRDefault="00AD3C47" w14:paraId="35D0D518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278BBC7B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36CA8E74" w14:textId="7777777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AD3C47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Pr="00AD3C47" w:rsidR="00AD3C47" w:rsidTr="00EC396F" w14:paraId="0C9C06B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:rsidRPr="00AD3C47" w:rsidR="00AD3C47" w:rsidP="00EC396F" w:rsidRDefault="00AD3C47" w14:paraId="743C96F0" w14:textId="77777777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:rsidRPr="00AD3C47" w:rsidR="00AD3C47" w:rsidP="00EC396F" w:rsidRDefault="00AD3C47" w14:paraId="537771CB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28555549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6CB59182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Pr="00AD3C47" w:rsidR="00AD3C47" w:rsidTr="00EC396F" w14:paraId="6344462E" w14:textId="7777777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:rsidRPr="00AD3C47" w:rsidR="00AD3C47" w:rsidP="00EC396F" w:rsidRDefault="00AD3C47" w14:paraId="58BA4FE7" w14:textId="77777777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:rsidRPr="00AD3C47" w:rsidR="00AD3C47" w:rsidP="00EC396F" w:rsidRDefault="00AD3C47" w14:paraId="7E983E4F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319B646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31674EBC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Pr="00AD3C47" w:rsidR="00AD3C47" w:rsidTr="00EC396F" w14:paraId="1D1141C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:rsidRPr="00AD3C47" w:rsidR="00AD3C47" w:rsidP="00EC396F" w:rsidRDefault="00AD3C47" w14:paraId="4D454247" w14:textId="77777777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:rsidRPr="00AD3C47" w:rsidR="00AD3C47" w:rsidP="00EC396F" w:rsidRDefault="00AD3C47" w14:paraId="750C8963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7CFF94DF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73FF1D3A" w14:textId="777777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Pr="00AD3C47" w:rsidR="00AD3C47" w:rsidTr="00EC396F" w14:paraId="1D4149D3" w14:textId="7777777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:rsidRPr="00AD3C47" w:rsidR="00AD3C47" w:rsidP="00EC396F" w:rsidRDefault="00AD3C47" w14:paraId="3A14D43F" w14:textId="77777777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:rsidRPr="00AD3C47" w:rsidR="00AD3C47" w:rsidP="00EC396F" w:rsidRDefault="00AD3C47" w14:paraId="4C1F38C5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64D1CD2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:rsidRPr="00AD3C47" w:rsidR="00AD3C47" w:rsidP="00EC396F" w:rsidRDefault="00AD3C47" w14:paraId="5FB77CF2" w14:textId="77777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:rsidRPr="00AD3C47" w:rsidR="00AD3C47" w:rsidP="00AD3C47" w:rsidRDefault="00AD3C47" w14:paraId="6CB9EB6E" w14:textId="77777777">
      <w:pPr>
        <w:rPr>
          <w:rFonts w:ascii="Aptos Display" w:hAnsi="Aptos Display" w:eastAsia="Times New Roman" w:cs="Times New Roman"/>
          <w:lang w:eastAsia="fr-FR"/>
        </w:rPr>
      </w:pPr>
      <w:r w:rsidRPr="00AD3C47">
        <w:rPr>
          <w:rFonts w:ascii="Aptos Display" w:hAnsi="Aptos Display" w:eastAsia="Times New Roman" w:cs="Times New Roman"/>
          <w:lang w:eastAsia="fr-FR"/>
        </w:rPr>
        <w:t>(*) en cas de groupement, cette partie est à multiplier pour chacun des cotraitants.</w:t>
      </w:r>
    </w:p>
    <w:p w:rsidR="00BA79BC" w:rsidP="00BA79BC" w:rsidRDefault="00BA79BC" w14:paraId="2C933A91" w14:textId="77777777">
      <w:pPr>
        <w:tabs>
          <w:tab w:val="left" w:pos="864"/>
        </w:tabs>
        <w:jc w:val="both"/>
        <w:rPr>
          <w:rFonts w:ascii="Aptos Display" w:hAnsi="Aptos Display" w:cs="Arial"/>
        </w:rPr>
      </w:pPr>
    </w:p>
    <w:p w:rsidRPr="00861938" w:rsidR="00861938" w:rsidP="00BA79BC" w:rsidRDefault="00861938" w14:paraId="3979B0EE" w14:textId="7C93B754">
      <w:pPr>
        <w:tabs>
          <w:tab w:val="left" w:pos="864"/>
        </w:tabs>
        <w:jc w:val="both"/>
        <w:rPr>
          <w:rFonts w:ascii="Aptos Display" w:hAnsi="Aptos Display" w:cs="Arial"/>
          <w:b/>
          <w:bCs/>
        </w:rPr>
      </w:pPr>
      <w:r w:rsidRPr="00861938">
        <w:rPr>
          <w:rFonts w:ascii="Aptos Display" w:hAnsi="Aptos Display" w:cs="Arial"/>
          <w:b/>
          <w:bCs/>
        </w:rPr>
        <w:t>Les qualifications professionnelles</w:t>
      </w:r>
    </w:p>
    <w:p w:rsidRPr="00D329CA" w:rsidR="00D329CA" w:rsidP="00D329CA" w:rsidRDefault="00D329CA" w14:paraId="7B6EF528" w14:textId="6A5380F0">
      <w:pPr>
        <w:pStyle w:val="Paragraphedeliste"/>
        <w:numPr>
          <w:ilvl w:val="0"/>
          <w:numId w:val="11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D329CA">
        <w:rPr>
          <w:rFonts w:ascii="Aptos Display" w:hAnsi="Aptos Display" w:cs="Arial"/>
        </w:rPr>
        <w:t>0902 Désamiantage</w:t>
      </w:r>
    </w:p>
    <w:p w:rsidRPr="00D329CA" w:rsidR="00D329CA" w:rsidP="00D329CA" w:rsidRDefault="00D329CA" w14:paraId="6AC00906" w14:textId="4118BAEB">
      <w:pPr>
        <w:pStyle w:val="Paragraphedeliste"/>
        <w:numPr>
          <w:ilvl w:val="0"/>
          <w:numId w:val="11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D329CA">
        <w:rPr>
          <w:rFonts w:ascii="Aptos Display" w:hAnsi="Aptos Display" w:cs="Arial"/>
        </w:rPr>
        <w:t>1202 Etude de structures béton courantes</w:t>
      </w:r>
    </w:p>
    <w:p w:rsidRPr="00D329CA" w:rsidR="00D329CA" w:rsidP="00D329CA" w:rsidRDefault="00D329CA" w14:paraId="64271101" w14:textId="02075F28">
      <w:pPr>
        <w:pStyle w:val="Paragraphedeliste"/>
        <w:numPr>
          <w:ilvl w:val="0"/>
          <w:numId w:val="11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D329CA">
        <w:rPr>
          <w:rFonts w:ascii="Aptos Display" w:hAnsi="Aptos Display" w:cs="Arial"/>
        </w:rPr>
        <w:t>1208 Etude de démolition d’ouvrage</w:t>
      </w:r>
    </w:p>
    <w:p w:rsidRPr="00D329CA" w:rsidR="00D329CA" w:rsidP="00D329CA" w:rsidRDefault="00D329CA" w14:paraId="49C44DCC" w14:textId="42659536">
      <w:pPr>
        <w:pStyle w:val="Paragraphedeliste"/>
        <w:numPr>
          <w:ilvl w:val="0"/>
          <w:numId w:val="11"/>
        </w:numPr>
        <w:tabs>
          <w:tab w:val="left" w:pos="864"/>
        </w:tabs>
        <w:jc w:val="both"/>
        <w:rPr>
          <w:rFonts w:ascii="Aptos Display" w:hAnsi="Aptos Display" w:cs="Arial"/>
        </w:rPr>
      </w:pPr>
      <w:r w:rsidRPr="00D329CA">
        <w:rPr>
          <w:rFonts w:ascii="Aptos Display" w:hAnsi="Aptos Display" w:cs="Arial"/>
        </w:rPr>
        <w:t>1904 Diagnostic en réutilisation-réhabilitation des ouvrages de bâtiment tout corps d’état</w:t>
      </w:r>
    </w:p>
    <w:p w:rsidR="00D329CA" w:rsidP="1531143D" w:rsidRDefault="00D329CA" w14:paraId="1F4B9D0F" w14:textId="704EEC5C">
      <w:pPr>
        <w:pStyle w:val="Paragraphedeliste"/>
        <w:numPr>
          <w:ilvl w:val="0"/>
          <w:numId w:val="11"/>
        </w:numPr>
        <w:tabs>
          <w:tab w:val="left" w:leader="none" w:pos="864"/>
        </w:tabs>
        <w:jc w:val="both"/>
        <w:rPr>
          <w:rFonts w:ascii="Aptos Display" w:hAnsi="Aptos Display" w:eastAsia="Aptos Display" w:cs="Aptos Display"/>
          <w:noProof w:val="0"/>
          <w:sz w:val="22"/>
          <w:szCs w:val="22"/>
          <w:lang w:val="fr-FR"/>
        </w:rPr>
      </w:pPr>
      <w:r w:rsidRPr="1531143D" w:rsidR="00D329CA">
        <w:rPr>
          <w:rFonts w:ascii="Aptos Display" w:hAnsi="Aptos Display" w:cs="Arial"/>
        </w:rPr>
        <w:t>1907 Diagnostic portant sur la gestion des déchets issus de la déconstruction de bâtiment</w:t>
      </w:r>
    </w:p>
    <w:p w:rsidR="6E08E69C" w:rsidP="1531143D" w:rsidRDefault="6E08E69C" w14:paraId="3622CAAA" w14:textId="43E6BC8F">
      <w:pPr>
        <w:pStyle w:val="Paragraphedeliste"/>
        <w:numPr>
          <w:ilvl w:val="0"/>
          <w:numId w:val="11"/>
        </w:numPr>
        <w:tabs>
          <w:tab w:val="left" w:leader="none" w:pos="864"/>
        </w:tabs>
        <w:jc w:val="both"/>
        <w:rPr>
          <w:rFonts w:ascii="Aptos Display" w:hAnsi="Aptos Display" w:cs="Arial"/>
          <w:noProof w:val="0"/>
          <w:lang w:val="fr-FR"/>
        </w:rPr>
      </w:pPr>
      <w:r w:rsidRPr="1531143D" w:rsidR="6E08E69C">
        <w:rPr>
          <w:rFonts w:ascii="Aptos Display" w:hAnsi="Aptos Display" w:eastAsia="" w:cs="Arial" w:asciiTheme="minorAscii" w:hAnsiTheme="minorAscii" w:eastAsiaTheme="minorEastAsia" w:cstheme="minorBidi"/>
          <w:noProof w:val="0"/>
          <w:color w:val="auto"/>
          <w:sz w:val="22"/>
          <w:szCs w:val="22"/>
          <w:lang w:val="fr-FR" w:eastAsia="fr-FR" w:bidi="ar-SA"/>
        </w:rPr>
        <w:t>1101 Etude en terrassements courants</w:t>
      </w:r>
    </w:p>
    <w:p w:rsidR="6E08E69C" w:rsidP="1531143D" w:rsidRDefault="6E08E69C" w14:paraId="43C07B4D" w14:textId="31485838">
      <w:pPr>
        <w:pStyle w:val="Paragraphedeliste"/>
        <w:numPr>
          <w:ilvl w:val="0"/>
          <w:numId w:val="11"/>
        </w:numPr>
        <w:spacing w:line="276" w:lineRule="auto"/>
        <w:rPr>
          <w:rFonts w:ascii="Aptos Display" w:hAnsi="Aptos Display" w:cs="Arial"/>
          <w:noProof w:val="0"/>
          <w:lang w:val="fr-FR"/>
        </w:rPr>
      </w:pPr>
      <w:r w:rsidRPr="1531143D" w:rsidR="6E08E69C">
        <w:rPr>
          <w:rFonts w:ascii="Aptos Display" w:hAnsi="Aptos Display" w:eastAsia="" w:cs="Arial" w:asciiTheme="minorAscii" w:hAnsiTheme="minorAscii" w:eastAsiaTheme="minorEastAsia" w:cstheme="minorBidi"/>
          <w:noProof w:val="0"/>
          <w:color w:val="auto"/>
          <w:sz w:val="22"/>
          <w:szCs w:val="22"/>
          <w:lang w:val="fr-FR" w:eastAsia="fr-FR" w:bidi="ar-SA"/>
        </w:rPr>
        <w:t>1218 Maitrise d’œuvre en génie civil et gros œuvre courants</w:t>
      </w:r>
    </w:p>
    <w:p w:rsidRPr="00861938" w:rsidR="00861938" w:rsidP="00861938" w:rsidRDefault="00861938" w14:paraId="3AD49551" w14:textId="2FC00414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 w:rsidRPr="00861938">
        <w:rPr>
          <w:rFonts w:ascii="Aptos Display" w:hAnsi="Aptos Display" w:cs="Arial"/>
          <w:color w:val="EE0000"/>
        </w:rPr>
        <w:t>Les qualifications doivent être fournies en annexe du présent canevas.</w:t>
      </w:r>
    </w:p>
    <w:p w:rsidRPr="00861938" w:rsidR="00861938" w:rsidP="00861938" w:rsidRDefault="00861938" w14:paraId="06D9B552" w14:textId="62110F97">
      <w:pPr>
        <w:tabs>
          <w:tab w:val="left" w:pos="864"/>
        </w:tabs>
        <w:jc w:val="both"/>
        <w:rPr>
          <w:rFonts w:ascii="Aptos Display" w:hAnsi="Aptos Display" w:cs="Arial"/>
          <w:color w:val="EE0000"/>
        </w:rPr>
      </w:pPr>
      <w:r w:rsidRPr="00861938">
        <w:rPr>
          <w:rFonts w:ascii="Aptos Display" w:hAnsi="Aptos Display" w:cs="Arial"/>
          <w:color w:val="EE0000"/>
        </w:rPr>
        <w:t xml:space="preserve">Les candidats peuvent attester de leur qualification en apportant une preuve équivalente (références par exemple). </w:t>
      </w:r>
    </w:p>
    <w:sectPr w:rsidRPr="00861938" w:rsidR="00861938" w:rsidSect="004E2C48">
      <w:pgSz w:w="11906" w:h="16838" w:orient="portrait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ptos Display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3C013E4"/>
    <w:multiLevelType w:val="hybridMultilevel"/>
    <w:tmpl w:val="BB98370E"/>
    <w:lvl w:ilvl="0" w:tplc="D382D6E4">
      <w:start w:val="1"/>
      <w:numFmt w:val="bullet"/>
      <w:lvlText w:val="o"/>
      <w:lvlJc w:val="left"/>
      <w:pPr>
        <w:ind w:left="1230" w:hanging="870"/>
      </w:pPr>
      <w:rPr>
        <w:rFonts w:hint="default" w:ascii="Wingdings" w:hAnsi="Wingding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entative="1">
      <w:start w:val="1"/>
      <w:numFmt w:val="bullet"/>
      <w:lvlText w:val="·"/>
      <w:lvlJc w:val="left"/>
      <w:pPr>
        <w:ind w:left="1440" w:hanging="360"/>
      </w:pPr>
      <w:rPr>
        <w:rFonts w:hint="default" w:ascii="Wingdings" w:hAnsi="Wingdings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CDC792A"/>
    <w:multiLevelType w:val="hybridMultilevel"/>
    <w:tmpl w:val="59F45B5E"/>
    <w:lvl w:ilvl="0" w:tplc="A88A5648">
      <w:numFmt w:val="bullet"/>
      <w:lvlText w:val="•"/>
      <w:lvlJc w:val="left"/>
      <w:pPr>
        <w:ind w:left="1230" w:hanging="870"/>
      </w:pPr>
      <w:rPr>
        <w:rFonts w:hint="default" w:ascii="Aptos Display" w:hAnsi="Aptos Display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111E1A"/>
    <w:multiLevelType w:val="hybridMultilevel"/>
    <w:tmpl w:val="B43ACB58"/>
    <w:lvl w:ilvl="0" w:tplc="040C000F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hint="default" w:ascii="Symbol" w:hAnsi="Symbol" w:eastAsia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hint="default" w:ascii="Wingdings" w:hAnsi="Wingdings"/>
      </w:rPr>
    </w:lvl>
  </w:abstractNum>
  <w:abstractNum w:abstractNumId="6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hint="default" w:ascii="Arial" w:hAnsi="Arial" w:eastAsia="SimSun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A092C08"/>
    <w:multiLevelType w:val="hybridMultilevel"/>
    <w:tmpl w:val="82C68ECE"/>
    <w:lvl w:ilvl="0" w:tplc="D382D6E4">
      <w:start w:val="1"/>
      <w:numFmt w:val="bullet"/>
      <w:lvlText w:val="o"/>
      <w:lvlJc w:val="left"/>
      <w:pPr>
        <w:ind w:left="1230" w:hanging="870"/>
      </w:pPr>
      <w:rPr>
        <w:rFonts w:hint="default" w:ascii="Wingdings" w:hAnsi="Wingdings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2690B23"/>
    <w:multiLevelType w:val="hybridMultilevel"/>
    <w:tmpl w:val="D6A2BE7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31D75AA"/>
    <w:multiLevelType w:val="hybridMultilevel"/>
    <w:tmpl w:val="ABA8F1D6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69CD2592"/>
    <w:multiLevelType w:val="hybridMultilevel"/>
    <w:tmpl w:val="AF3E89B4"/>
    <w:lvl w:ilvl="0" w:tplc="0C00B0AE">
      <w:numFmt w:val="bullet"/>
      <w:lvlText w:val="•"/>
      <w:lvlJc w:val="left"/>
      <w:pPr>
        <w:ind w:left="1230" w:hanging="870"/>
      </w:pPr>
      <w:rPr>
        <w:rFonts w:hint="default" w:ascii="Aptos Display" w:hAnsi="Aptos Display" w:cs="Arial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5"/>
  </w:num>
  <w:num w:numId="4" w16cid:durableId="892733629">
    <w:abstractNumId w:val="6"/>
  </w:num>
  <w:num w:numId="5" w16cid:durableId="1041710298">
    <w:abstractNumId w:val="8"/>
  </w:num>
  <w:num w:numId="6" w16cid:durableId="1081878735">
    <w:abstractNumId w:val="3"/>
  </w:num>
  <w:num w:numId="7" w16cid:durableId="2075158260">
    <w:abstractNumId w:val="4"/>
  </w:num>
  <w:num w:numId="8" w16cid:durableId="1745951323">
    <w:abstractNumId w:val="7"/>
  </w:num>
  <w:num w:numId="9" w16cid:durableId="1557622169">
    <w:abstractNumId w:val="9"/>
  </w:num>
  <w:num w:numId="10" w16cid:durableId="1926106365">
    <w:abstractNumId w:val="10"/>
  </w:num>
  <w:num w:numId="11" w16cid:durableId="1097750455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468CE"/>
    <w:rsid w:val="00056BF8"/>
    <w:rsid w:val="00084FD6"/>
    <w:rsid w:val="00101B40"/>
    <w:rsid w:val="00101E31"/>
    <w:rsid w:val="001206A0"/>
    <w:rsid w:val="00134C3C"/>
    <w:rsid w:val="0015392B"/>
    <w:rsid w:val="001B0C35"/>
    <w:rsid w:val="00252A6A"/>
    <w:rsid w:val="0030029F"/>
    <w:rsid w:val="004264AE"/>
    <w:rsid w:val="0043667C"/>
    <w:rsid w:val="00492856"/>
    <w:rsid w:val="00496012"/>
    <w:rsid w:val="004B627F"/>
    <w:rsid w:val="004D1F82"/>
    <w:rsid w:val="004D4900"/>
    <w:rsid w:val="004E2C48"/>
    <w:rsid w:val="0051795F"/>
    <w:rsid w:val="00584BF0"/>
    <w:rsid w:val="005C216D"/>
    <w:rsid w:val="005D7225"/>
    <w:rsid w:val="005E75B1"/>
    <w:rsid w:val="00764C2C"/>
    <w:rsid w:val="00815FA2"/>
    <w:rsid w:val="00861938"/>
    <w:rsid w:val="009D6BEE"/>
    <w:rsid w:val="009E0AE6"/>
    <w:rsid w:val="00A95747"/>
    <w:rsid w:val="00AD3C47"/>
    <w:rsid w:val="00AF541C"/>
    <w:rsid w:val="00B30287"/>
    <w:rsid w:val="00BA79BC"/>
    <w:rsid w:val="00BF2E53"/>
    <w:rsid w:val="00C30193"/>
    <w:rsid w:val="00CD4221"/>
    <w:rsid w:val="00CE0534"/>
    <w:rsid w:val="00D01111"/>
    <w:rsid w:val="00D200FD"/>
    <w:rsid w:val="00D329CA"/>
    <w:rsid w:val="00D35C19"/>
    <w:rsid w:val="00DD2179"/>
    <w:rsid w:val="00E72DE6"/>
    <w:rsid w:val="00F03532"/>
    <w:rsid w:val="00F23E44"/>
    <w:rsid w:val="00F247B6"/>
    <w:rsid w:val="00F618EE"/>
    <w:rsid w:val="00FD1103"/>
    <w:rsid w:val="00FD4BE2"/>
    <w:rsid w:val="06520B61"/>
    <w:rsid w:val="08AA14A4"/>
    <w:rsid w:val="1358F026"/>
    <w:rsid w:val="1531143D"/>
    <w:rsid w:val="1913393F"/>
    <w:rsid w:val="28D318C2"/>
    <w:rsid w:val="36A36584"/>
    <w:rsid w:val="44EC547A"/>
    <w:rsid w:val="4596BAEE"/>
    <w:rsid w:val="4887F941"/>
    <w:rsid w:val="5A093249"/>
    <w:rsid w:val="637318BA"/>
    <w:rsid w:val="6E08E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0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0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hAnsi="Arial" w:eastAsia="Times New Roman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hAnsi="Arial" w:eastAsia="Times New Roman" w:cs="Arial"/>
      <w:b/>
      <w:bCs/>
      <w:sz w:val="24"/>
      <w:szCs w:val="24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En-tteCar" w:customStyle="1">
    <w:name w:val="En-tête Car"/>
    <w:basedOn w:val="Policepardfaut"/>
    <w:link w:val="En-tte"/>
    <w:rsid w:val="00E72DE6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itre2Car" w:customStyle="1">
    <w:name w:val="Titre 2 Car"/>
    <w:basedOn w:val="Policepardfaut"/>
    <w:link w:val="Titre2"/>
    <w:rsid w:val="00E72DE6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character" w:styleId="Titre5Car" w:customStyle="1">
    <w:name w:val="Titre 5 Car"/>
    <w:basedOn w:val="Policepardfaut"/>
    <w:link w:val="Titre5"/>
    <w:rsid w:val="00E72DE6"/>
    <w:rPr>
      <w:rFonts w:ascii="Arial" w:hAnsi="Arial" w:eastAsia="Times New Roman" w:cs="Arial"/>
      <w:b/>
      <w:bCs/>
      <w:sz w:val="20"/>
      <w:szCs w:val="20"/>
      <w:lang w:eastAsia="zh-CN"/>
    </w:rPr>
  </w:style>
  <w:style w:type="character" w:styleId="Titre8Car" w:customStyle="1">
    <w:name w:val="Titre 8 Car"/>
    <w:basedOn w:val="Policepardfaut"/>
    <w:link w:val="Titre8"/>
    <w:rsid w:val="00E72DE6"/>
    <w:rPr>
      <w:rFonts w:ascii="Arial" w:hAnsi="Arial" w:eastAsia="Times New Roman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hAnsi="Times New Roman" w:eastAsia="Times New Roman" w:cs="Times New Roman"/>
      <w:sz w:val="20"/>
      <w:szCs w:val="20"/>
      <w:lang w:eastAsia="fr-FR"/>
    </w:rPr>
  </w:style>
  <w:style w:type="character" w:styleId="CorpsdetexteCar" w:customStyle="1">
    <w:name w:val="Corps de texte Car"/>
    <w:basedOn w:val="Policepardfaut"/>
    <w:link w:val="Corpsdetexte"/>
    <w:uiPriority w:val="99"/>
    <w:rsid w:val="005C216D"/>
    <w:rPr>
      <w:rFonts w:ascii="Times New Roman" w:hAnsi="Times New Roman" w:eastAsia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hAnsi="Times New Roman" w:eastAsia="Times New Roman" w:cs="Times New Roman"/>
      <w:lang w:eastAsia="fr-FR"/>
    </w:r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bCs/>
      </w:rPr>
      <w:tblPr/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2Vert">
      <w:tblPr/>
      <w:tcPr>
        <w:tcBorders>
          <w:left w:val="single" w:color="7F7F7F" w:themeColor="text1" w:themeTint="80" w:sz="4" w:space="0"/>
          <w:right w:val="single" w:color="7F7F7F" w:themeColor="text1" w:themeTint="80" w:sz="4" w:space="0"/>
        </w:tcBorders>
      </w:tcPr>
    </w:tblStylePr>
    <w:tblStylePr w:type="band1Horz">
      <w:tblPr/>
      <w:tcPr>
        <w:tcBorders>
          <w:top w:val="single" w:color="7F7F7F" w:themeColor="text1" w:themeTint="80" w:sz="4" w:space="0"/>
          <w:bottom w:val="single" w:color="7F7F7F" w:themeColor="text1" w:themeTint="80" w:sz="4" w:space="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styleId="ParagraphedelisteCar" w:customStyle="1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hAnsi="Times New Roman" w:eastAsia="Times New Roman" w:cs="Times New Roman"/>
      <w:lang w:eastAsia="fr-FR"/>
    </w:r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legifrance.gouv.fr/affichCode.do?idSectionTA=LEGISCTA000037703603&amp;cidTexte=LEGITEXT000037701019&amp;dateTexte=20190401" TargetMode="Externa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yperlink" Target="https://www.legifrance.gouv.fr/affichCode.do?idSectionTA=LEGISCTA000037703603&amp;cidTexte=LEGITEXT000037701019&amp;dateTexte=20190401" TargetMode="External" Id="rId10" /><Relationship Type="http://schemas.openxmlformats.org/officeDocument/2006/relationships/numbering" Target="numbering.xml" Id="rId4" /><Relationship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1EA078660A81409C4E232DCC7A1AB9" ma:contentTypeVersion="4" ma:contentTypeDescription="Crée un document." ma:contentTypeScope="" ma:versionID="099e57c86a6037d289dedc359f45a4f0">
  <xsd:schema xmlns:xsd="http://www.w3.org/2001/XMLSchema" xmlns:xs="http://www.w3.org/2001/XMLSchema" xmlns:p="http://schemas.microsoft.com/office/2006/metadata/properties" xmlns:ns2="18127d35-4ec8-416a-9e43-3b929658d95e" targetNamespace="http://schemas.microsoft.com/office/2006/metadata/properties" ma:root="true" ma:fieldsID="a867773401ed278d42fbe90ede44c82d" ns2:_="">
    <xsd:import namespace="18127d35-4ec8-416a-9e43-3b929658d9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27d35-4ec8-416a-9e43-3b929658d9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983393fc-d1a8-4505-9b28-c195c3220d8c"/>
    <ds:schemaRef ds:uri="e0004c30-a001-49c4-b093-3554d9632ced"/>
  </ds:schemaRefs>
</ds:datastoreItem>
</file>

<file path=customXml/itemProps2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CE833E-B391-45DD-A0EF-117D79B51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27d35-4ec8-416a-9e43-3b929658d9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HP Inc.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Magali PERNIN</dc:creator>
  <keywords/>
  <dc:description/>
  <lastModifiedBy>Cécile ROLAND</lastModifiedBy>
  <revision>45</revision>
  <dcterms:created xsi:type="dcterms:W3CDTF">2022-05-09T10:22:00.0000000Z</dcterms:created>
  <dcterms:modified xsi:type="dcterms:W3CDTF">2025-06-12T16:56:05.6544691Z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0x010100C31EA078660A81409C4E232DCC7A1AB9</vt:lpwstr>
  </property>
  <property fmtid="{D5CDD505-2E9C-101B-9397-08002B2CF9AE}" pid="3" name="MediaServiceImageTags">
    <vt:lpwstr/>
  </property>
</Properties>
</file>